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C31F12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31F12" w:rsidRPr="00246273" w:rsidRDefault="00C31F12" w:rsidP="002C25A2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College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31F12" w:rsidRPr="0058381F" w:rsidRDefault="00C31F12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C31F12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31F12" w:rsidRPr="00246273" w:rsidRDefault="00C31F12" w:rsidP="002C25A2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Department of Microbiology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31F12" w:rsidRPr="0058381F" w:rsidRDefault="00C31F12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C31F12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31F12" w:rsidRPr="00246273" w:rsidRDefault="00C31F12" w:rsidP="002C25A2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NIDHAL RAOOF MAHDI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31F12" w:rsidRPr="0058381F" w:rsidRDefault="00C31F12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C31F12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31F12" w:rsidRPr="00246273" w:rsidRDefault="00C31F12" w:rsidP="002C25A2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dr.nidhalraoof@yahoo.com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31F12" w:rsidRPr="0058381F" w:rsidRDefault="00C31F12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C56DC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C56DC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C56DC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C56DC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C56DC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C56DC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C56DCB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C56DC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D4B34" w:rsidRDefault="00C31F12" w:rsidP="00C31F12">
            <w:pPr>
              <w:bidi w:val="0"/>
              <w:rPr>
                <w:rtl/>
                <w:lang w:bidi="ar-IQ"/>
              </w:rPr>
            </w:pPr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The association of </w:t>
            </w:r>
            <w:r w:rsidRPr="00BA46C8">
              <w:rPr>
                <w:rFonts w:asciiTheme="majorBidi" w:hAnsiTheme="majorBidi" w:cstheme="majorBidi"/>
                <w:i/>
                <w:color w:val="141314"/>
                <w:sz w:val="28"/>
                <w:szCs w:val="28"/>
              </w:rPr>
              <w:t>Helicobacter pylori</w:t>
            </w:r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 mucosal density with low Serum </w:t>
            </w:r>
            <w:proofErr w:type="spellStart"/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Ferritin</w:t>
            </w:r>
            <w:proofErr w:type="spellEnd"/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.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C56DCB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C31F12" w:rsidP="00C31F12">
            <w:pPr>
              <w:bidi w:val="0"/>
              <w:rPr>
                <w:rtl/>
                <w:lang w:bidi="ar-IQ"/>
              </w:rPr>
            </w:pPr>
            <w:r w:rsidRPr="00F21839">
              <w:rPr>
                <w:rFonts w:asciiTheme="majorBidi" w:hAnsiTheme="majorBidi" w:cstheme="majorBidi"/>
                <w:sz w:val="22"/>
                <w:szCs w:val="22"/>
              </w:rPr>
              <w:t>Nidhal Raoof Mahdi</w:t>
            </w:r>
            <w:r w:rsidRPr="00F2183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</w:t>
            </w:r>
            <w:r w:rsidRPr="00F21839">
              <w:rPr>
                <w:rFonts w:asciiTheme="majorBidi" w:hAnsiTheme="majorBidi" w:cstheme="majorBidi"/>
                <w:sz w:val="22"/>
                <w:szCs w:val="22"/>
              </w:rPr>
              <w:t xml:space="preserve">and Nidhal </w:t>
            </w:r>
            <w:proofErr w:type="spellStart"/>
            <w:r w:rsidRPr="00F21839">
              <w:rPr>
                <w:rFonts w:asciiTheme="majorBidi" w:hAnsiTheme="majorBidi" w:cstheme="majorBidi"/>
                <w:sz w:val="22"/>
                <w:szCs w:val="22"/>
              </w:rPr>
              <w:t>abdul</w:t>
            </w:r>
            <w:proofErr w:type="spellEnd"/>
            <w:r w:rsidRPr="00F2183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F21839">
              <w:rPr>
                <w:rFonts w:asciiTheme="majorBidi" w:hAnsiTheme="majorBidi" w:cstheme="majorBidi"/>
                <w:sz w:val="22"/>
                <w:szCs w:val="22"/>
              </w:rPr>
              <w:t>Mohaymen</w:t>
            </w:r>
            <w:proofErr w:type="spellEnd"/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C56DCB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C31F12" w:rsidP="008D4B34">
            <w:pPr>
              <w:bidi w:val="0"/>
              <w:rPr>
                <w:lang w:val="en-US" w:bidi="ar-IQ"/>
              </w:rPr>
            </w:pPr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I</w:t>
            </w:r>
            <w:r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raqi</w:t>
            </w:r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 J M</w:t>
            </w:r>
            <w:r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ed</w:t>
            </w:r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 S</w:t>
            </w:r>
            <w:r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ci.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C31F12" w:rsidP="00C31F12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7(1)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31F12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30-40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31F12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 w:rsidRPr="00BA46C8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C31F12">
        <w:trPr>
          <w:trHeight w:hRule="exact" w:val="556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31F12" w:rsidP="00C31F12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Although there are several methods to detect</w:t>
            </w:r>
            <w:r w:rsidRPr="00342871">
              <w:rPr>
                <w:rFonts w:asciiTheme="majorBidi" w:hAnsiTheme="majorBidi" w:cstheme="majorBidi"/>
                <w:i/>
                <w:iCs/>
                <w:color w:val="141314"/>
                <w:sz w:val="28"/>
                <w:szCs w:val="28"/>
              </w:rPr>
              <w:t xml:space="preserve"> Helicobacter pylori </w:t>
            </w:r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infection, there is no simple validated test to quantify the density of infection, which is believed to play a major role in the pathogenesis of </w:t>
            </w:r>
            <w:r w:rsidRPr="00342871">
              <w:rPr>
                <w:rFonts w:asciiTheme="majorBidi" w:hAnsiTheme="majorBidi" w:cstheme="majorBidi"/>
                <w:i/>
                <w:iCs/>
                <w:color w:val="141314"/>
                <w:sz w:val="28"/>
                <w:szCs w:val="28"/>
              </w:rPr>
              <w:t>H. pylori</w:t>
            </w:r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-associated Gastritis and</w:t>
            </w:r>
            <w:r w:rsidRPr="00342871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serum </w:t>
            </w:r>
            <w:proofErr w:type="spellStart"/>
            <w:r w:rsidRPr="00342871">
              <w:rPr>
                <w:rFonts w:asciiTheme="majorBidi" w:hAnsiTheme="majorBidi" w:cstheme="majorBidi"/>
                <w:sz w:val="28"/>
                <w:szCs w:val="28"/>
              </w:rPr>
              <w:t>Ferritin</w:t>
            </w:r>
            <w:proofErr w:type="spellEnd"/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 level.</w:t>
            </w:r>
            <w:r w:rsidRPr="0034287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Forty seven of the 64(73%)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 patients were </w:t>
            </w:r>
            <w:r w:rsidRPr="0034287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H.pylori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 positive group. patients were classified according to the age group and gender. The rates of the </w:t>
            </w:r>
            <w:r w:rsidRPr="0034287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H.pylori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 infection were higher in female age group 21-30 years. A total 16 of the 47 (34%) infected patients showed low serum </w:t>
            </w:r>
            <w:proofErr w:type="spellStart"/>
            <w:r w:rsidRPr="00342871">
              <w:rPr>
                <w:rFonts w:asciiTheme="majorBidi" w:hAnsiTheme="majorBidi" w:cstheme="majorBidi"/>
                <w:sz w:val="28"/>
                <w:szCs w:val="28"/>
              </w:rPr>
              <w:t>Ferritin</w:t>
            </w:r>
            <w:proofErr w:type="spellEnd"/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 values with high rate in female with age group 21-30years. </w:t>
            </w:r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Twenty eight of the 47(60%) patient biopsies showed positive microscopic examination with slide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 impression smear test .</w:t>
            </w:r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Twenty seven of the 47(57%)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 infected patients showed seropositive results to anti-</w:t>
            </w:r>
            <w:r w:rsidRPr="00342871">
              <w:rPr>
                <w:rFonts w:asciiTheme="majorBidi" w:hAnsiTheme="majorBidi" w:cstheme="majorBidi"/>
                <w:i/>
                <w:sz w:val="28"/>
                <w:szCs w:val="28"/>
              </w:rPr>
              <w:t>H.pylori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IgG antibody and also positive with  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>URUT</w:t>
            </w:r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,10 individuals of this group showed low serum </w:t>
            </w:r>
            <w:proofErr w:type="spellStart"/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Ferritin</w:t>
            </w:r>
            <w:proofErr w:type="spellEnd"/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 values. While 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>ten of the47 (21%) infected patients showed seronegative results to anti-</w:t>
            </w:r>
            <w:r w:rsidRPr="00342871">
              <w:rPr>
                <w:rFonts w:asciiTheme="majorBidi" w:hAnsiTheme="majorBidi" w:cstheme="majorBidi"/>
                <w:i/>
                <w:sz w:val="28"/>
                <w:szCs w:val="28"/>
              </w:rPr>
              <w:t>H.pylori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IgG antibody but positive with </w:t>
            </w:r>
            <w:r w:rsidRPr="00342871">
              <w:rPr>
                <w:rFonts w:asciiTheme="majorBidi" w:hAnsiTheme="majorBidi" w:cstheme="majorBidi"/>
                <w:sz w:val="28"/>
                <w:szCs w:val="28"/>
              </w:rPr>
              <w:t>URUT</w:t>
            </w:r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,5 individuals of this group showed low serum </w:t>
            </w:r>
            <w:proofErr w:type="spellStart"/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Ferritin</w:t>
            </w:r>
            <w:proofErr w:type="spellEnd"/>
            <w:r w:rsidRPr="0034287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 values.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ED" w:rsidRDefault="00BF73ED" w:rsidP="002729DF">
      <w:r>
        <w:separator/>
      </w:r>
    </w:p>
  </w:endnote>
  <w:endnote w:type="continuationSeparator" w:id="0">
    <w:p w:rsidR="00BF73ED" w:rsidRDefault="00BF73ED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ED" w:rsidRDefault="00BF73ED" w:rsidP="002729DF">
      <w:r>
        <w:separator/>
      </w:r>
    </w:p>
  </w:footnote>
  <w:footnote w:type="continuationSeparator" w:id="0">
    <w:p w:rsidR="00BF73ED" w:rsidRDefault="00BF73ED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BB19AB"/>
    <w:rsid w:val="00BC4E9A"/>
    <w:rsid w:val="00BF73ED"/>
    <w:rsid w:val="00BF7696"/>
    <w:rsid w:val="00C31F12"/>
    <w:rsid w:val="00C3725A"/>
    <w:rsid w:val="00C54102"/>
    <w:rsid w:val="00C56DCB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820C-3DDF-4C1C-9C19-B44B899F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dell</cp:lastModifiedBy>
  <cp:revision>21</cp:revision>
  <cp:lastPrinted>2011-11-23T07:24:00Z</cp:lastPrinted>
  <dcterms:created xsi:type="dcterms:W3CDTF">2011-10-21T12:27:00Z</dcterms:created>
  <dcterms:modified xsi:type="dcterms:W3CDTF">2011-12-19T20:52:00Z</dcterms:modified>
</cp:coreProperties>
</file>